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 w:type="dxa"/>
        <w:tblLayout w:type="fixed"/>
        <w:tblCellMar>
          <w:left w:w="0" w:type="dxa"/>
          <w:right w:w="0" w:type="dxa"/>
        </w:tblCellMar>
        <w:tblLook w:val="0000" w:firstRow="0" w:lastRow="0" w:firstColumn="0" w:lastColumn="0" w:noHBand="0" w:noVBand="0"/>
      </w:tblPr>
      <w:tblGrid>
        <w:gridCol w:w="5812"/>
      </w:tblGrid>
      <w:tr w:rsidR="00323D6D" w:rsidTr="00323D6D">
        <w:tblPrEx>
          <w:tblCellMar>
            <w:top w:w="0" w:type="dxa"/>
            <w:left w:w="0" w:type="dxa"/>
            <w:bottom w:w="0" w:type="dxa"/>
            <w:right w:w="0" w:type="dxa"/>
          </w:tblCellMar>
        </w:tblPrEx>
        <w:trPr>
          <w:trHeight w:val="60"/>
        </w:trPr>
        <w:tc>
          <w:tcPr>
            <w:tcW w:w="5812" w:type="dxa"/>
            <w:tcBorders>
              <w:top w:val="single" w:sz="8" w:space="0" w:color="870000"/>
              <w:left w:val="single" w:sz="6" w:space="0" w:color="000000"/>
              <w:bottom w:val="single" w:sz="6" w:space="0" w:color="000000"/>
              <w:right w:val="single" w:sz="6" w:space="0" w:color="000000"/>
            </w:tcBorders>
            <w:shd w:val="solid" w:color="FFE5F2" w:fill="auto"/>
            <w:tcMar>
              <w:top w:w="227" w:type="dxa"/>
              <w:left w:w="80" w:type="dxa"/>
              <w:bottom w:w="113" w:type="dxa"/>
              <w:right w:w="80" w:type="dxa"/>
            </w:tcMar>
          </w:tcPr>
          <w:p w:rsidR="00323D6D" w:rsidRPr="00323D6D" w:rsidRDefault="00323D6D">
            <w:pPr>
              <w:pStyle w:val="Tabel"/>
              <w:rPr>
                <w:rFonts w:asciiTheme="minorHAnsi" w:hAnsiTheme="minorHAnsi"/>
                <w:sz w:val="22"/>
                <w:szCs w:val="22"/>
              </w:rPr>
            </w:pPr>
            <w:r w:rsidRPr="00323D6D">
              <w:rPr>
                <w:rFonts w:asciiTheme="minorHAnsi" w:hAnsiTheme="minorHAnsi"/>
                <w:sz w:val="22"/>
                <w:szCs w:val="22"/>
              </w:rPr>
              <w:t xml:space="preserve">For at kunne arbejde med et </w:t>
            </w:r>
            <w:proofErr w:type="spellStart"/>
            <w:r w:rsidRPr="00323D6D">
              <w:rPr>
                <w:rFonts w:asciiTheme="minorHAnsi" w:hAnsiTheme="minorHAnsi"/>
                <w:sz w:val="22"/>
                <w:szCs w:val="22"/>
              </w:rPr>
              <w:t>bybegreb</w:t>
            </w:r>
            <w:proofErr w:type="spellEnd"/>
            <w:r w:rsidRPr="00323D6D">
              <w:rPr>
                <w:rFonts w:asciiTheme="minorHAnsi" w:hAnsiTheme="minorHAnsi"/>
                <w:sz w:val="22"/>
                <w:szCs w:val="22"/>
              </w:rPr>
              <w:t xml:space="preserve"> i praksis er det nødvendigt entydigt at kunne afgrænse, hvad der forstås ved en by dvs. urbant område, i modsætning til ruralt område. FN har en oversigt over definitioner af byer, som de anvender i de forskellige medlemsstater. Her indgår bl.a.:</w:t>
            </w:r>
          </w:p>
        </w:tc>
      </w:tr>
      <w:tr w:rsidR="00323D6D" w:rsidTr="00323D6D">
        <w:tblPrEx>
          <w:tblCellMar>
            <w:top w:w="0" w:type="dxa"/>
            <w:left w:w="0" w:type="dxa"/>
            <w:bottom w:w="0" w:type="dxa"/>
            <w:right w:w="0" w:type="dxa"/>
          </w:tblCellMar>
        </w:tblPrEx>
        <w:trPr>
          <w:trHeight w:val="60"/>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0" w:type="dxa"/>
              <w:right w:w="80" w:type="dxa"/>
            </w:tcMar>
          </w:tcPr>
          <w:p w:rsidR="00323D6D" w:rsidRPr="00323D6D" w:rsidRDefault="00323D6D">
            <w:pPr>
              <w:pStyle w:val="Tabel"/>
              <w:tabs>
                <w:tab w:val="left" w:pos="180"/>
              </w:tabs>
              <w:rPr>
                <w:rFonts w:asciiTheme="minorHAnsi" w:hAnsiTheme="minorHAnsi"/>
                <w:sz w:val="22"/>
                <w:szCs w:val="22"/>
              </w:rPr>
            </w:pPr>
            <w:r w:rsidRPr="00323D6D">
              <w:rPr>
                <w:rFonts w:asciiTheme="minorHAnsi" w:hAnsiTheme="minorHAnsi" w:cs="ITC Legacy Sans Bold"/>
                <w:b/>
                <w:bCs/>
                <w:sz w:val="22"/>
                <w:szCs w:val="22"/>
              </w:rPr>
              <w:t>•</w:t>
            </w:r>
            <w:r w:rsidRPr="00323D6D">
              <w:rPr>
                <w:rFonts w:asciiTheme="minorHAnsi" w:hAnsiTheme="minorHAnsi"/>
                <w:sz w:val="22"/>
                <w:szCs w:val="22"/>
              </w:rPr>
              <w:tab/>
              <w:t>befolkningens størrelse</w:t>
            </w:r>
          </w:p>
        </w:tc>
      </w:tr>
      <w:tr w:rsidR="00323D6D" w:rsidTr="00323D6D">
        <w:tblPrEx>
          <w:tblCellMar>
            <w:top w:w="0" w:type="dxa"/>
            <w:left w:w="0" w:type="dxa"/>
            <w:bottom w:w="0" w:type="dxa"/>
            <w:right w:w="0" w:type="dxa"/>
          </w:tblCellMar>
        </w:tblPrEx>
        <w:trPr>
          <w:trHeight w:val="252"/>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0" w:type="dxa"/>
              <w:right w:w="80" w:type="dxa"/>
            </w:tcMar>
          </w:tcPr>
          <w:p w:rsidR="00323D6D" w:rsidRPr="00323D6D" w:rsidRDefault="00323D6D">
            <w:pPr>
              <w:pStyle w:val="Tabel"/>
              <w:tabs>
                <w:tab w:val="left" w:pos="180"/>
              </w:tabs>
              <w:rPr>
                <w:rFonts w:asciiTheme="minorHAnsi" w:hAnsiTheme="minorHAnsi"/>
                <w:sz w:val="22"/>
                <w:szCs w:val="22"/>
              </w:rPr>
            </w:pPr>
            <w:r w:rsidRPr="00323D6D">
              <w:rPr>
                <w:rFonts w:asciiTheme="minorHAnsi" w:hAnsiTheme="minorHAnsi" w:cs="ITC Legacy Sans Bold"/>
                <w:b/>
                <w:bCs/>
                <w:sz w:val="22"/>
                <w:szCs w:val="22"/>
              </w:rPr>
              <w:t>•</w:t>
            </w:r>
            <w:r w:rsidRPr="00323D6D">
              <w:rPr>
                <w:rFonts w:asciiTheme="minorHAnsi" w:hAnsiTheme="minorHAnsi"/>
                <w:sz w:val="22"/>
                <w:szCs w:val="22"/>
              </w:rPr>
              <w:tab/>
              <w:t>befolkningens tæthed</w:t>
            </w:r>
          </w:p>
        </w:tc>
      </w:tr>
      <w:tr w:rsidR="00323D6D" w:rsidTr="00323D6D">
        <w:tblPrEx>
          <w:tblCellMar>
            <w:top w:w="0" w:type="dxa"/>
            <w:left w:w="0" w:type="dxa"/>
            <w:bottom w:w="0" w:type="dxa"/>
            <w:right w:w="0" w:type="dxa"/>
          </w:tblCellMar>
        </w:tblPrEx>
        <w:trPr>
          <w:trHeight w:val="244"/>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0" w:type="dxa"/>
              <w:right w:w="80" w:type="dxa"/>
            </w:tcMar>
          </w:tcPr>
          <w:p w:rsidR="00323D6D" w:rsidRPr="00323D6D" w:rsidRDefault="00323D6D">
            <w:pPr>
              <w:pStyle w:val="Tabel"/>
              <w:tabs>
                <w:tab w:val="left" w:pos="180"/>
              </w:tabs>
              <w:rPr>
                <w:rFonts w:asciiTheme="minorHAnsi" w:hAnsiTheme="minorHAnsi"/>
                <w:sz w:val="22"/>
                <w:szCs w:val="22"/>
              </w:rPr>
            </w:pPr>
            <w:r w:rsidRPr="00323D6D">
              <w:rPr>
                <w:rFonts w:asciiTheme="minorHAnsi" w:hAnsiTheme="minorHAnsi" w:cs="ITC Legacy Sans Bold"/>
                <w:b/>
                <w:bCs/>
                <w:sz w:val="22"/>
                <w:szCs w:val="22"/>
              </w:rPr>
              <w:t>•</w:t>
            </w:r>
            <w:r w:rsidRPr="00323D6D">
              <w:rPr>
                <w:rFonts w:asciiTheme="minorHAnsi" w:hAnsiTheme="minorHAnsi"/>
                <w:sz w:val="22"/>
                <w:szCs w:val="22"/>
              </w:rPr>
              <w:tab/>
              <w:t>erhvervssammensætning</w:t>
            </w:r>
          </w:p>
        </w:tc>
      </w:tr>
      <w:tr w:rsidR="00323D6D" w:rsidTr="00323D6D">
        <w:tblPrEx>
          <w:tblCellMar>
            <w:top w:w="0" w:type="dxa"/>
            <w:left w:w="0" w:type="dxa"/>
            <w:bottom w:w="0" w:type="dxa"/>
            <w:right w:w="0" w:type="dxa"/>
          </w:tblCellMar>
        </w:tblPrEx>
        <w:trPr>
          <w:trHeight w:val="60"/>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0" w:type="dxa"/>
              <w:right w:w="80" w:type="dxa"/>
            </w:tcMar>
          </w:tcPr>
          <w:p w:rsidR="00323D6D" w:rsidRPr="00323D6D" w:rsidRDefault="00323D6D">
            <w:pPr>
              <w:pStyle w:val="Tabel"/>
              <w:tabs>
                <w:tab w:val="left" w:pos="180"/>
              </w:tabs>
              <w:rPr>
                <w:rFonts w:asciiTheme="minorHAnsi" w:hAnsiTheme="minorHAnsi"/>
                <w:sz w:val="22"/>
                <w:szCs w:val="22"/>
              </w:rPr>
            </w:pPr>
            <w:r w:rsidRPr="00323D6D">
              <w:rPr>
                <w:rFonts w:asciiTheme="minorHAnsi" w:hAnsiTheme="minorHAnsi" w:cs="ITC Legacy Sans Bold"/>
                <w:b/>
                <w:bCs/>
                <w:sz w:val="22"/>
                <w:szCs w:val="22"/>
              </w:rPr>
              <w:t>•</w:t>
            </w:r>
            <w:r w:rsidRPr="00323D6D">
              <w:rPr>
                <w:rFonts w:asciiTheme="minorHAnsi" w:hAnsiTheme="minorHAnsi"/>
                <w:sz w:val="22"/>
                <w:szCs w:val="22"/>
              </w:rPr>
              <w:tab/>
              <w:t>andre “urbane” karakteristika</w:t>
            </w:r>
          </w:p>
        </w:tc>
      </w:tr>
      <w:tr w:rsidR="00323D6D" w:rsidTr="00323D6D">
        <w:tblPrEx>
          <w:tblCellMar>
            <w:top w:w="0" w:type="dxa"/>
            <w:left w:w="0" w:type="dxa"/>
            <w:bottom w:w="0" w:type="dxa"/>
            <w:right w:w="0" w:type="dxa"/>
          </w:tblCellMar>
        </w:tblPrEx>
        <w:trPr>
          <w:trHeight w:val="244"/>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113" w:type="dxa"/>
              <w:right w:w="80" w:type="dxa"/>
            </w:tcMar>
          </w:tcPr>
          <w:p w:rsidR="00323D6D" w:rsidRPr="00323D6D" w:rsidRDefault="00323D6D">
            <w:pPr>
              <w:pStyle w:val="Tabel"/>
              <w:tabs>
                <w:tab w:val="left" w:pos="180"/>
              </w:tabs>
              <w:rPr>
                <w:rFonts w:asciiTheme="minorHAnsi" w:hAnsiTheme="minorHAnsi"/>
                <w:sz w:val="22"/>
                <w:szCs w:val="22"/>
              </w:rPr>
            </w:pPr>
            <w:r w:rsidRPr="00323D6D">
              <w:rPr>
                <w:rFonts w:asciiTheme="minorHAnsi" w:hAnsiTheme="minorHAnsi" w:cs="ITC Legacy Sans Bold"/>
                <w:b/>
                <w:bCs/>
                <w:sz w:val="22"/>
                <w:szCs w:val="22"/>
              </w:rPr>
              <w:t>•</w:t>
            </w:r>
            <w:r w:rsidRPr="00323D6D">
              <w:rPr>
                <w:rFonts w:asciiTheme="minorHAnsi" w:hAnsiTheme="minorHAnsi"/>
                <w:sz w:val="22"/>
                <w:szCs w:val="22"/>
              </w:rPr>
              <w:tab/>
              <w:t>eventuelle administrative funktioner eller</w:t>
            </w:r>
          </w:p>
          <w:p w:rsidR="00323D6D" w:rsidRPr="00323D6D" w:rsidRDefault="00323D6D">
            <w:pPr>
              <w:pStyle w:val="Tabel"/>
              <w:tabs>
                <w:tab w:val="left" w:pos="80"/>
              </w:tabs>
              <w:ind w:left="140"/>
              <w:rPr>
                <w:rFonts w:asciiTheme="minorHAnsi" w:hAnsiTheme="minorHAnsi"/>
                <w:sz w:val="22"/>
                <w:szCs w:val="22"/>
              </w:rPr>
            </w:pPr>
            <w:r w:rsidRPr="00323D6D">
              <w:rPr>
                <w:rFonts w:asciiTheme="minorHAnsi" w:hAnsiTheme="minorHAnsi"/>
                <w:sz w:val="22"/>
                <w:szCs w:val="22"/>
              </w:rPr>
              <w:t xml:space="preserve"> </w:t>
            </w:r>
            <w:proofErr w:type="gramStart"/>
            <w:r w:rsidRPr="00323D6D">
              <w:rPr>
                <w:rFonts w:asciiTheme="minorHAnsi" w:hAnsiTheme="minorHAnsi"/>
                <w:sz w:val="22"/>
                <w:szCs w:val="22"/>
              </w:rPr>
              <w:t>strukturer</w:t>
            </w:r>
            <w:proofErr w:type="gramEnd"/>
            <w:r w:rsidRPr="00323D6D">
              <w:rPr>
                <w:rFonts w:asciiTheme="minorHAnsi" w:hAnsiTheme="minorHAnsi"/>
                <w:sz w:val="22"/>
                <w:szCs w:val="22"/>
              </w:rPr>
              <w:t>.</w:t>
            </w:r>
          </w:p>
        </w:tc>
      </w:tr>
      <w:tr w:rsidR="00323D6D" w:rsidTr="00323D6D">
        <w:tblPrEx>
          <w:tblCellMar>
            <w:top w:w="0" w:type="dxa"/>
            <w:left w:w="0" w:type="dxa"/>
            <w:bottom w:w="0" w:type="dxa"/>
            <w:right w:w="0" w:type="dxa"/>
          </w:tblCellMar>
        </w:tblPrEx>
        <w:trPr>
          <w:trHeight w:val="60"/>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113" w:type="dxa"/>
              <w:right w:w="80" w:type="dxa"/>
            </w:tcMar>
          </w:tcPr>
          <w:p w:rsidR="00323D6D" w:rsidRPr="00323D6D" w:rsidRDefault="00323D6D">
            <w:pPr>
              <w:pStyle w:val="Tabel"/>
              <w:rPr>
                <w:rFonts w:asciiTheme="minorHAnsi" w:hAnsiTheme="minorHAnsi"/>
                <w:sz w:val="22"/>
                <w:szCs w:val="22"/>
              </w:rPr>
            </w:pPr>
            <w:r w:rsidRPr="00323D6D">
              <w:rPr>
                <w:rFonts w:asciiTheme="minorHAnsi" w:hAnsiTheme="minorHAnsi"/>
                <w:sz w:val="22"/>
                <w:szCs w:val="22"/>
              </w:rPr>
              <w:t xml:space="preserve">Forskellige opfattelser af, hvad en by egentlig er, har ført til forskellige definitioner. </w:t>
            </w:r>
          </w:p>
        </w:tc>
      </w:tr>
      <w:tr w:rsidR="00323D6D" w:rsidTr="00323D6D">
        <w:tblPrEx>
          <w:tblCellMar>
            <w:top w:w="0" w:type="dxa"/>
            <w:left w:w="0" w:type="dxa"/>
            <w:bottom w:w="0" w:type="dxa"/>
            <w:right w:w="0" w:type="dxa"/>
          </w:tblCellMar>
        </w:tblPrEx>
        <w:trPr>
          <w:trHeight w:val="772"/>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113" w:type="dxa"/>
              <w:right w:w="80" w:type="dxa"/>
            </w:tcMar>
          </w:tcPr>
          <w:p w:rsidR="00323D6D" w:rsidRPr="00323D6D" w:rsidRDefault="00323D6D">
            <w:pPr>
              <w:pStyle w:val="Tabel"/>
              <w:rPr>
                <w:rFonts w:asciiTheme="minorHAnsi" w:hAnsiTheme="minorHAnsi"/>
                <w:sz w:val="22"/>
                <w:szCs w:val="22"/>
              </w:rPr>
            </w:pPr>
            <w:r w:rsidRPr="00323D6D">
              <w:rPr>
                <w:rFonts w:asciiTheme="minorHAnsi" w:hAnsiTheme="minorHAnsi"/>
                <w:sz w:val="22"/>
                <w:szCs w:val="22"/>
              </w:rPr>
              <w:t>I Frankrig defineres en by som en kommune med en sammenhængende bebyggelse med mere end 2.000 indbyggere.</w:t>
            </w:r>
          </w:p>
        </w:tc>
      </w:tr>
      <w:tr w:rsidR="00323D6D" w:rsidTr="00323D6D">
        <w:tblPrEx>
          <w:tblCellMar>
            <w:top w:w="0" w:type="dxa"/>
            <w:left w:w="0" w:type="dxa"/>
            <w:bottom w:w="0" w:type="dxa"/>
            <w:right w:w="0" w:type="dxa"/>
          </w:tblCellMar>
        </w:tblPrEx>
        <w:trPr>
          <w:trHeight w:val="60"/>
        </w:trPr>
        <w:tc>
          <w:tcPr>
            <w:tcW w:w="5812" w:type="dxa"/>
            <w:tcBorders>
              <w:top w:val="single" w:sz="6" w:space="0" w:color="000000"/>
              <w:left w:val="single" w:sz="6" w:space="0" w:color="000000"/>
              <w:bottom w:val="single" w:sz="6" w:space="0" w:color="000000"/>
              <w:right w:val="single" w:sz="6" w:space="0" w:color="000000"/>
            </w:tcBorders>
            <w:shd w:val="solid" w:color="FFE5F2" w:fill="auto"/>
            <w:tcMar>
              <w:top w:w="113" w:type="dxa"/>
              <w:left w:w="80" w:type="dxa"/>
              <w:bottom w:w="113" w:type="dxa"/>
              <w:right w:w="80" w:type="dxa"/>
            </w:tcMar>
          </w:tcPr>
          <w:p w:rsidR="00323D6D" w:rsidRPr="00323D6D" w:rsidRDefault="00323D6D">
            <w:pPr>
              <w:pStyle w:val="Tabel"/>
              <w:rPr>
                <w:rFonts w:asciiTheme="minorHAnsi" w:hAnsiTheme="minorHAnsi"/>
                <w:sz w:val="22"/>
                <w:szCs w:val="22"/>
              </w:rPr>
            </w:pPr>
            <w:r w:rsidRPr="00323D6D">
              <w:rPr>
                <w:rFonts w:asciiTheme="minorHAnsi" w:hAnsiTheme="minorHAnsi"/>
                <w:sz w:val="22"/>
                <w:szCs w:val="22"/>
              </w:rPr>
              <w:t>I Spanien definerer man byer som kommuner med mere end 10.000 indbyggere, og i Japan defineres byer som særlige bykommuner med mere end 30.000 indbyggere. Israel definerer byer som bebyggelser med mere end 200 indbyggere, hvor mindst to tredjedele har deres indtjening fra andre erhverv end landbrug.</w:t>
            </w:r>
          </w:p>
        </w:tc>
      </w:tr>
      <w:tr w:rsidR="00323D6D" w:rsidTr="00323D6D">
        <w:tblPrEx>
          <w:tblCellMar>
            <w:top w:w="0" w:type="dxa"/>
            <w:left w:w="0" w:type="dxa"/>
            <w:bottom w:w="0" w:type="dxa"/>
            <w:right w:w="0" w:type="dxa"/>
          </w:tblCellMar>
        </w:tblPrEx>
        <w:trPr>
          <w:trHeight w:val="60"/>
        </w:trPr>
        <w:tc>
          <w:tcPr>
            <w:tcW w:w="5812" w:type="dxa"/>
            <w:tcBorders>
              <w:top w:val="single" w:sz="6" w:space="0" w:color="000000"/>
              <w:left w:val="single" w:sz="6" w:space="0" w:color="000000"/>
              <w:bottom w:val="single" w:sz="8" w:space="0" w:color="870000"/>
              <w:right w:val="single" w:sz="6" w:space="0" w:color="000000"/>
            </w:tcBorders>
            <w:shd w:val="solid" w:color="FFE5F2" w:fill="auto"/>
            <w:tcMar>
              <w:top w:w="113" w:type="dxa"/>
              <w:left w:w="80" w:type="dxa"/>
              <w:bottom w:w="227" w:type="dxa"/>
              <w:right w:w="80" w:type="dxa"/>
            </w:tcMar>
          </w:tcPr>
          <w:p w:rsidR="00323D6D" w:rsidRPr="00323D6D" w:rsidRDefault="00323D6D">
            <w:pPr>
              <w:pStyle w:val="Tabel"/>
              <w:rPr>
                <w:rFonts w:asciiTheme="minorHAnsi" w:hAnsiTheme="minorHAnsi"/>
                <w:sz w:val="22"/>
                <w:szCs w:val="22"/>
              </w:rPr>
            </w:pPr>
            <w:r w:rsidRPr="00323D6D">
              <w:rPr>
                <w:rFonts w:asciiTheme="minorHAnsi" w:hAnsiTheme="minorHAnsi"/>
                <w:sz w:val="22"/>
                <w:szCs w:val="22"/>
              </w:rPr>
              <w:t>I Danmark defineres en bymæssig bebyggelse som en samling boliger, hvor der ikke er større afstand mellem husene end 200 m, med mindre der er et offentligt areal som bypark, sportsp</w:t>
            </w:r>
            <w:r w:rsidR="00835795">
              <w:rPr>
                <w:rFonts w:asciiTheme="minorHAnsi" w:hAnsiTheme="minorHAnsi"/>
                <w:sz w:val="22"/>
                <w:szCs w:val="22"/>
              </w:rPr>
              <w:t>lads mm., og med mindst 200 ind</w:t>
            </w:r>
            <w:bookmarkStart w:id="0" w:name="_GoBack"/>
            <w:bookmarkEnd w:id="0"/>
            <w:r w:rsidRPr="00323D6D">
              <w:rPr>
                <w:rFonts w:asciiTheme="minorHAnsi" w:hAnsiTheme="minorHAnsi"/>
                <w:sz w:val="22"/>
                <w:szCs w:val="22"/>
              </w:rPr>
              <w:t>byggere.</w:t>
            </w:r>
          </w:p>
        </w:tc>
      </w:tr>
    </w:tbl>
    <w:p w:rsidR="003846B0" w:rsidRDefault="00323D6D">
      <w:r>
        <w:t xml:space="preserve">Fra Naturgeografi, Jorden og mennesket, </w:t>
      </w:r>
      <w:r>
        <w:br/>
        <w:t>Geografforlaget 2007 s. 322</w:t>
      </w:r>
    </w:p>
    <w:sectPr w:rsidR="003846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Legacy Sans Medium">
    <w:panose1 w:val="00000000000000000000"/>
    <w:charset w:val="00"/>
    <w:family w:val="auto"/>
    <w:notTrueType/>
    <w:pitch w:val="default"/>
    <w:sig w:usb0="00000003" w:usb1="00000000" w:usb2="00000000" w:usb3="00000000" w:csb0="00000001" w:csb1="00000000"/>
  </w:font>
  <w:font w:name="ITC Legacy Sans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6D"/>
    <w:rsid w:val="00323D6D"/>
    <w:rsid w:val="003846B0"/>
    <w:rsid w:val="00835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7BA12-A8D7-41C1-8699-80AC1B80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el">
    <w:name w:val="Tabel"/>
    <w:basedOn w:val="Normal"/>
    <w:uiPriority w:val="99"/>
    <w:rsid w:val="00323D6D"/>
    <w:pPr>
      <w:autoSpaceDE w:val="0"/>
      <w:autoSpaceDN w:val="0"/>
      <w:adjustRightInd w:val="0"/>
      <w:spacing w:after="0" w:line="200" w:lineRule="atLeast"/>
      <w:textAlignment w:val="center"/>
    </w:pPr>
    <w:rPr>
      <w:rFonts w:ascii="ITC Legacy Sans Medium" w:hAnsi="ITC Legacy Sans Medium" w:cs="ITC Legacy Sans Medium"/>
      <w:color w:val="000000"/>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Studenterkurset og Kostskolen i Sønderjylland</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Laust Wium Olesen</dc:creator>
  <cp:keywords/>
  <dc:description/>
  <cp:lastModifiedBy>Laust Wium Olesen</cp:lastModifiedBy>
  <cp:revision>2</cp:revision>
  <dcterms:created xsi:type="dcterms:W3CDTF">2015-11-23T20:05:00Z</dcterms:created>
  <dcterms:modified xsi:type="dcterms:W3CDTF">2015-11-23T20:11:00Z</dcterms:modified>
</cp:coreProperties>
</file>